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0" w:leftChars="0" w:right="-17" w:firstLine="0" w:firstLineChars="0"/>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33.036/2025</w:t>
      </w:r>
      <w:r>
        <w:rPr>
          <w:rFonts w:ascii="Arial" w:hAnsi="Arial" w:cs="Arial"/>
          <w:b/>
          <w:bCs/>
          <w:sz w:val="22"/>
          <w:szCs w:val="22"/>
          <w:highlight w:val="none"/>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90.039/2026</w:t>
      </w:r>
      <w:r>
        <w:rPr>
          <w:rFonts w:ascii="Arial" w:hAnsi="Arial" w:cs="Arial"/>
          <w:sz w:val="22"/>
          <w:szCs w:val="22"/>
        </w:rPr>
        <w:t>,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zo Sans Md" w:hAnsi="Azo Sans Md" w:eastAsia="Times New Roman" w:cs="Times New Roman"/>
          <w:b/>
          <w:bCs/>
          <w:sz w:val="22"/>
          <w:szCs w:val="22"/>
          <w:highlight w:val="none"/>
          <w:lang w:val="pt-BR" w:eastAsia="pt-BR" w:bidi="ar-SA"/>
        </w:rPr>
        <w:t>AQUISIÇÃO DE CAMA HOSPITALAR PPP – PRÉ PARTO, PARTO E PÓS PARTO, PARA ATENDER AS NECESSIDADES DO HOSPITAL MATERNIDADE DR. MARIO DUTRA DE CASTRO</w:t>
      </w:r>
      <w:r>
        <w:rPr>
          <w:rFonts w:ascii="Arial" w:hAnsi="Arial" w:cs="Arial"/>
          <w:bCs/>
          <w:iCs/>
        </w:rPr>
        <w:t>,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bookmarkStart w:id="6" w:name="_GoBack"/>
      <w:bookmarkEnd w:id="6"/>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43"/>
        <w:numPr>
          <w:ilvl w:val="0"/>
          <w:numId w:val="0"/>
        </w:numPr>
        <w:spacing w:before="0" w:after="0"/>
        <w:ind w:right="0" w:rightChars="0"/>
        <w:rPr>
          <w:rFonts w:hint="default" w:ascii="Arial" w:hAnsi="Arial" w:eastAsia="Verdana" w:cs="Arial"/>
          <w:b w:val="0"/>
          <w:bCs/>
          <w:iCs/>
          <w:color w:val="auto"/>
          <w:sz w:val="22"/>
          <w:szCs w:val="22"/>
          <w:u w:val="single"/>
          <w:lang w:val="pt-BR" w:eastAsia="en-US" w:bidi="ar-SA"/>
        </w:rPr>
      </w:pPr>
    </w:p>
    <w:p>
      <w:pPr>
        <w:pStyle w:val="43"/>
        <w:numPr>
          <w:ilvl w:val="0"/>
          <w:numId w:val="0"/>
        </w:numPr>
        <w:spacing w:before="0" w:after="0"/>
        <w:ind w:right="0" w:rightChars="0"/>
        <w:rPr>
          <w:rFonts w:ascii="Arial" w:hAnsi="Arial" w:eastAsia="Verdana" w:cs="Arial"/>
          <w:b w:val="0"/>
          <w:bCs/>
          <w:iCs/>
          <w:color w:val="auto"/>
          <w:sz w:val="22"/>
          <w:szCs w:val="22"/>
          <w:u w:val="single"/>
          <w:lang w:val="pt-PT" w:eastAsia="en-US" w:bidi="ar-SA"/>
        </w:rPr>
      </w:pPr>
      <w:r>
        <w:rPr>
          <w:rFonts w:hint="default" w:ascii="Arial" w:hAnsi="Arial" w:eastAsia="Verdana" w:cs="Arial"/>
          <w:b w:val="0"/>
          <w:bCs/>
          <w:iCs/>
          <w:color w:val="auto"/>
          <w:sz w:val="22"/>
          <w:szCs w:val="22"/>
          <w:u w:val="single"/>
          <w:lang w:val="pt-BR" w:eastAsia="en-US" w:bidi="ar-SA"/>
        </w:rPr>
        <w:t xml:space="preserve">3.1 </w:t>
      </w:r>
      <w:r>
        <w:rPr>
          <w:rFonts w:ascii="Arial" w:hAnsi="Arial" w:eastAsia="Verdana" w:cs="Arial"/>
          <w:b w:val="0"/>
          <w:bCs/>
          <w:iCs/>
          <w:color w:val="auto"/>
          <w:sz w:val="22"/>
          <w:szCs w:val="22"/>
          <w:u w:val="single"/>
          <w:lang w:val="pt-PT" w:eastAsia="en-US" w:bidi="ar-SA"/>
        </w:rPr>
        <w:t>MODELO DE EXECUÇÃO DO OBJETO</w:t>
      </w:r>
    </w:p>
    <w:p>
      <w:pPr>
        <w:pStyle w:val="45"/>
        <w:widowControl/>
        <w:suppressAutoHyphens/>
        <w:bidi w:val="0"/>
        <w:spacing w:before="0" w:after="0" w:line="276" w:lineRule="auto"/>
        <w:ind w:right="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.1. Os itens deverão ser entregues em parcela única, no prazo máximo de 30 (trinta) dias corridos, contados a partir do recebimento da nota de empenho.</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.2. Caso não seja possível a entrega no prazo acima, a empresa deverá comunicar as razões respectivas com pelo menos 05 (cinco) dias de antecedência para que qualquer pleito de prorrogação de prazo seja analisado, ressalvadas situações de caso fortuito e força maior.</w:t>
      </w:r>
    </w:p>
    <w:p>
      <w:pPr>
        <w:pStyle w:val="45"/>
        <w:widowControl/>
        <w:suppressAutoHyphens/>
        <w:bidi w:val="0"/>
        <w:spacing w:before="0" w:after="0" w:line="276" w:lineRule="auto"/>
        <w:ind w:left="57" w:right="0" w:firstLine="0"/>
        <w:jc w:val="both"/>
        <w:rPr>
          <w:rFonts w:ascii="Arial" w:hAnsi="Arial" w:eastAsia="Verdana" w:cs="Arial"/>
          <w:b/>
          <w:bCs w:val="0"/>
          <w:iCs/>
          <w:color w:val="auto"/>
          <w:sz w:val="22"/>
          <w:szCs w:val="22"/>
          <w:lang w:val="pt-PT" w:eastAsia="en-US" w:bidi="ar-SA"/>
        </w:rPr>
      </w:pPr>
      <w:r>
        <w:rPr>
          <w:rFonts w:hint="default" w:eastAsia="Verdana"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.3. Os bens deverão ser entregues no seguinte endereço:</w:t>
      </w:r>
      <w:r>
        <w:rPr>
          <w:rFonts w:hint="default" w:eastAsia="Verdana" w:cs="Arial"/>
          <w:b w:val="0"/>
          <w:bCs/>
          <w:iCs/>
          <w:color w:val="auto"/>
          <w:sz w:val="22"/>
          <w:szCs w:val="22"/>
          <w:lang w:val="pt-BR" w:eastAsia="en-US" w:bidi="ar-SA"/>
        </w:rPr>
        <w:t xml:space="preserve"> </w:t>
      </w:r>
      <w:r>
        <w:rPr>
          <w:rFonts w:ascii="Arial" w:hAnsi="Arial" w:eastAsia="Verdana" w:cs="Arial"/>
          <w:b/>
          <w:bCs w:val="0"/>
          <w:iCs/>
          <w:color w:val="auto"/>
          <w:sz w:val="22"/>
          <w:szCs w:val="22"/>
          <w:lang w:val="pt-PT" w:eastAsia="en-US" w:bidi="ar-SA"/>
        </w:rPr>
        <w:t>Hospital Maternidade Dr. Mario Dutra de Castro – Travessa Antônio Fernandes Moreira, nº 12, Centro, Nova Friburgo, RJ</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.4. As entregas deverão ser realizadas de segunda à sexta-feira,  no horário de 09:00h às 16:00h</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.5. Os bens serão recebidos provisoriamente, de forma sumária, no prazo de 02 (dois) dias, pelo(a) responsável pelo acompanhamento e fiscalização do contrato, para efeito de posterior verificação de sua conformidade com as especificações constantes n</w:t>
      </w:r>
      <w:r>
        <w:rPr>
          <w:rFonts w:hint="default" w:eastAsia="Verdana" w:cs="Arial"/>
          <w:b w:val="0"/>
          <w:bCs/>
          <w:iCs/>
          <w:color w:val="auto"/>
          <w:sz w:val="22"/>
          <w:szCs w:val="22"/>
          <w:lang w:val="pt-BR" w:eastAsia="en-US" w:bidi="ar-SA"/>
        </w:rPr>
        <w:t>o</w:t>
      </w:r>
      <w:r>
        <w:rPr>
          <w:rFonts w:ascii="Arial" w:hAnsi="Arial" w:eastAsia="Verdana" w:cs="Arial"/>
          <w:b w:val="0"/>
          <w:bCs/>
          <w:iCs/>
          <w:color w:val="auto"/>
          <w:sz w:val="22"/>
          <w:szCs w:val="22"/>
          <w:lang w:val="pt-PT" w:eastAsia="en-US" w:bidi="ar-SA"/>
        </w:rPr>
        <w:t xml:space="preserve"> Termo de Referência e na proposta.</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.6. Os bens poderão ser rejeitados, no todo ou em parte, quando em desacordo com as especificações constantes n</w:t>
      </w:r>
      <w:r>
        <w:rPr>
          <w:rFonts w:hint="default" w:eastAsia="Verdana" w:cs="Arial"/>
          <w:b w:val="0"/>
          <w:bCs/>
          <w:iCs/>
          <w:color w:val="auto"/>
          <w:sz w:val="22"/>
          <w:szCs w:val="22"/>
          <w:lang w:val="pt-BR" w:eastAsia="en-US" w:bidi="ar-SA"/>
        </w:rPr>
        <w:t>o</w:t>
      </w:r>
      <w:r>
        <w:rPr>
          <w:rFonts w:ascii="Arial" w:hAnsi="Arial" w:eastAsia="Verdana" w:cs="Arial"/>
          <w:b w:val="0"/>
          <w:bCs/>
          <w:iCs/>
          <w:color w:val="auto"/>
          <w:sz w:val="22"/>
          <w:szCs w:val="22"/>
          <w:lang w:val="pt-PT" w:eastAsia="en-US" w:bidi="ar-SA"/>
        </w:rPr>
        <w:t xml:space="preserve"> Termo de Referência e na proposta, devendo ser substituídos no prazo de 05 (cinco) dias, a contar da notificação da contratada, às suas custas, sem prejuízo da aplicação das penalidades.</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.7. Os bens serão recebidos definitivamente no prazo de 02 (dois) dias, contados do recebimento provisório, após a verificação da qualidade e quantidade do material e consequente aceitação mediante termo detalhado.</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.8. Na hipótese de a verificação a que se refere o subitem anterior não ser procedida dentro do prazo fixado, reputar-se-á como realizada, consumando-se o recebimento definitivo no dia do esgotamento do prazo.</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.9. O recebimento provisório ou definitivo não excluirá a responsabilidade civil pela solidez e pela segurança do serviço nem a responsabilidade ético-profissional pela perfeita execução do contrato.</w:t>
      </w:r>
    </w:p>
    <w:p>
      <w:pPr>
        <w:pStyle w:val="19"/>
        <w:widowControl/>
        <w:suppressAutoHyphens/>
        <w:bidi w:val="0"/>
        <w:spacing w:before="0" w:after="0" w:line="276" w:lineRule="auto"/>
        <w:ind w:left="57"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 xml:space="preserve">.10. A Contratada deverá oferecer garantia contratual dos bens, complementar à garantia legal, de, no mínimo, 12 (doze) meses, ou pelo prazo fornecido pelo fabricante, se superior, contado a partir do primeiro dia útil subsequente à data do recebimento definitivo do objeto. </w:t>
      </w:r>
    </w:p>
    <w:p>
      <w:pPr>
        <w:pStyle w:val="19"/>
        <w:widowControl/>
        <w:suppressAutoHyphens/>
        <w:bidi w:val="0"/>
        <w:spacing w:before="0" w:after="0" w:line="276" w:lineRule="auto"/>
        <w:ind w:left="57"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.11. Visando a manutenção da garantia mencionada no item anterior, será de responsabilidade da Contratada a montagem (se for entregue desmontado) e a instalação do item (no caso de itens que necessitam de conexões com redes hidráulicas e elétricas, ou instalações entre suas partes, etc) a fim de garantir seu pleno funcionamento.</w:t>
      </w:r>
    </w:p>
    <w:p>
      <w:pPr>
        <w:pStyle w:val="19"/>
        <w:widowControl/>
        <w:suppressAutoHyphens/>
        <w:bidi w:val="0"/>
        <w:spacing w:before="0" w:after="0" w:line="276" w:lineRule="auto"/>
        <w:ind w:left="57"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 xml:space="preserve">.12. A garantia será prestada com vistas a manter os equipamentos fornecidos em perfeitas condições de uso, sem qualquer ônus ou custo adicional para o Contratante. </w:t>
      </w:r>
    </w:p>
    <w:p>
      <w:pPr>
        <w:pStyle w:val="19"/>
        <w:widowControl/>
        <w:suppressAutoHyphens/>
        <w:bidi w:val="0"/>
        <w:spacing w:before="0" w:after="0" w:line="276" w:lineRule="auto"/>
        <w:ind w:left="57"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 xml:space="preserve">.13. A garantia abrange a realização da manutenção corretiva dos bens pelo próprio Contratado, ou, se for o caso, por meio de assistência técnica autorizada, de acordo com as normas técnicas específicas. </w:t>
      </w:r>
    </w:p>
    <w:p>
      <w:pPr>
        <w:pStyle w:val="19"/>
        <w:widowControl/>
        <w:suppressAutoHyphens/>
        <w:bidi w:val="0"/>
        <w:spacing w:before="0" w:after="0" w:line="276" w:lineRule="auto"/>
        <w:ind w:left="57"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 xml:space="preserve">.14. Entende-se por manutenção corretiva aquela destinada a corrigir os defeitos apresentados pelos bens, compreendendo a substituição de peças, a realização de ajustes, reparos e correções necessárias. </w:t>
      </w:r>
    </w:p>
    <w:p>
      <w:pPr>
        <w:pStyle w:val="19"/>
        <w:widowControl/>
        <w:suppressAutoHyphens/>
        <w:bidi w:val="0"/>
        <w:spacing w:before="0" w:after="0" w:line="276" w:lineRule="auto"/>
        <w:ind w:left="57"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.15. As peças que apresentarem vício ou defeito no período de vigência da garantia deverão ser substituídas por outras novas, de primeiro uso, e originais, que apresentem padrões de qualidade e desempenho iguais ou superiores aos das peças utilizadas na fabricação do bem.</w:t>
      </w:r>
    </w:p>
    <w:p>
      <w:pPr>
        <w:pStyle w:val="19"/>
        <w:widowControl/>
        <w:suppressAutoHyphens/>
        <w:bidi w:val="0"/>
        <w:spacing w:before="0" w:after="0" w:line="276" w:lineRule="auto"/>
        <w:ind w:left="57"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PT" w:eastAsia="en-US" w:bidi="ar-SA"/>
        </w:rPr>
        <w:t>.16. Durante a vigência do período de garantia, na eventual necessidade de assistência técnica, os custos referentes ao transporte, mão de obra e material utilizado pelos técnicos em função da distância entre a Contratante e o fornecedor ou seu representante técnico serão integralmente pagos pela Contratada.</w:t>
      </w:r>
    </w:p>
    <w:p>
      <w:pPr>
        <w:pStyle w:val="19"/>
        <w:spacing w:before="0" w:after="0" w:line="276" w:lineRule="auto"/>
        <w:ind w:left="0"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BR" w:eastAsia="en-US" w:bidi="ar-SA"/>
        </w:rPr>
        <w:t xml:space="preserve">.17. </w:t>
      </w:r>
      <w:r>
        <w:rPr>
          <w:rFonts w:ascii="Arial" w:hAnsi="Arial" w:eastAsia="Verdana" w:cs="Arial"/>
          <w:b w:val="0"/>
          <w:bCs/>
          <w:iCs/>
          <w:color w:val="auto"/>
          <w:sz w:val="22"/>
          <w:szCs w:val="22"/>
          <w:lang w:val="pt-PT" w:eastAsia="en-US" w:bidi="ar-SA"/>
        </w:rPr>
        <w:t xml:space="preserve">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 </w:t>
      </w:r>
    </w:p>
    <w:p>
      <w:pPr>
        <w:pStyle w:val="19"/>
        <w:spacing w:before="0" w:after="0" w:line="276" w:lineRule="auto"/>
        <w:ind w:left="0"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BR" w:eastAsia="en-US" w:bidi="ar-SA"/>
        </w:rPr>
        <w:t xml:space="preserve">.18. </w:t>
      </w:r>
      <w:r>
        <w:rPr>
          <w:rFonts w:ascii="Arial" w:hAnsi="Arial" w:eastAsia="Verdana" w:cs="Arial"/>
          <w:b w:val="0"/>
          <w:bCs/>
          <w:iCs/>
          <w:color w:val="auto"/>
          <w:sz w:val="22"/>
          <w:szCs w:val="22"/>
          <w:lang w:val="pt-PT" w:eastAsia="en-US" w:bidi="ar-SA"/>
        </w:rPr>
        <w:t xml:space="preserve">O prazo indicado no subitem anterior, durante seu transcurso, poderá ser prorrogado uma única vez, por igual período, mediante solicitação escrita e justificada do Contratado, aceita pelo Contratante. </w:t>
      </w:r>
    </w:p>
    <w:p>
      <w:pPr>
        <w:pStyle w:val="19"/>
        <w:spacing w:before="0" w:after="0" w:line="276" w:lineRule="auto"/>
        <w:ind w:left="0"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BR" w:eastAsia="en-US" w:bidi="ar-SA"/>
        </w:rPr>
        <w:t xml:space="preserve">.19. </w:t>
      </w:r>
      <w:r>
        <w:rPr>
          <w:rFonts w:ascii="Arial" w:hAnsi="Arial" w:eastAsia="Verdana" w:cs="Arial"/>
          <w:b w:val="0"/>
          <w:bCs/>
          <w:iCs/>
          <w:color w:val="auto"/>
          <w:sz w:val="22"/>
          <w:szCs w:val="22"/>
          <w:lang w:val="pt-PT" w:eastAsia="en-US" w:bidi="ar-SA"/>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19"/>
        <w:spacing w:before="0" w:after="0" w:line="276" w:lineRule="auto"/>
        <w:ind w:left="0"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BR" w:eastAsia="en-US" w:bidi="ar-SA"/>
        </w:rPr>
        <w:t xml:space="preserve">.20. </w:t>
      </w:r>
      <w:r>
        <w:rPr>
          <w:rFonts w:ascii="Arial" w:hAnsi="Arial" w:eastAsia="Verdana" w:cs="Arial"/>
          <w:b w:val="0"/>
          <w:bCs/>
          <w:iCs/>
          <w:color w:val="auto"/>
          <w:sz w:val="22"/>
          <w:szCs w:val="22"/>
          <w:lang w:val="pt-PT" w:eastAsia="en-US" w:bidi="ar-SA"/>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19"/>
        <w:spacing w:before="0" w:after="0" w:line="276" w:lineRule="auto"/>
        <w:ind w:left="0"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BR" w:eastAsia="en-US" w:bidi="ar-SA"/>
        </w:rPr>
        <w:t xml:space="preserve">.21. </w:t>
      </w:r>
      <w:r>
        <w:rPr>
          <w:rFonts w:ascii="Arial" w:hAnsi="Arial" w:eastAsia="Verdana" w:cs="Arial"/>
          <w:b w:val="0"/>
          <w:bCs/>
          <w:iCs/>
          <w:color w:val="auto"/>
          <w:sz w:val="22"/>
          <w:szCs w:val="22"/>
          <w:lang w:val="pt-PT" w:eastAsia="en-US" w:bidi="ar-SA"/>
        </w:rPr>
        <w:t xml:space="preserve">O custo referente ao transporte dos itens cobertos pela garantia será de responsabilidade do Contratado. </w:t>
      </w:r>
    </w:p>
    <w:p>
      <w:pPr>
        <w:pStyle w:val="19"/>
        <w:widowControl/>
        <w:suppressAutoHyphens/>
        <w:bidi w:val="0"/>
        <w:spacing w:before="0" w:after="0" w:line="276" w:lineRule="auto"/>
        <w:ind w:left="0" w:right="0" w:firstLine="0"/>
        <w:contextualSpacing/>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3.1</w:t>
      </w:r>
      <w:r>
        <w:rPr>
          <w:rFonts w:ascii="Arial" w:hAnsi="Arial" w:eastAsia="Verdana" w:cs="Arial"/>
          <w:b w:val="0"/>
          <w:bCs/>
          <w:iCs/>
          <w:color w:val="auto"/>
          <w:sz w:val="22"/>
          <w:szCs w:val="22"/>
          <w:lang w:val="pt-BR" w:eastAsia="en-US" w:bidi="ar-SA"/>
        </w:rPr>
        <w:t xml:space="preserve">.22. </w:t>
      </w:r>
      <w:r>
        <w:rPr>
          <w:rFonts w:ascii="Arial" w:hAnsi="Arial" w:eastAsia="Verdana" w:cs="Arial"/>
          <w:b w:val="0"/>
          <w:bCs/>
          <w:iCs/>
          <w:color w:val="auto"/>
          <w:sz w:val="22"/>
          <w:szCs w:val="22"/>
          <w:lang w:val="pt-PT" w:eastAsia="en-US" w:bidi="ar-SA"/>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19"/>
        <w:spacing w:before="0" w:after="0" w:line="276" w:lineRule="auto"/>
        <w:ind w:left="567" w:right="0" w:hanging="432"/>
        <w:contextualSpacing/>
        <w:jc w:val="both"/>
        <w:rPr>
          <w:rFonts w:ascii="Arial" w:hAnsi="Arial" w:eastAsia="Verdana" w:cs="Arial"/>
          <w:b w:val="0"/>
          <w:bCs/>
          <w:iCs/>
          <w:color w:val="auto"/>
          <w:sz w:val="22"/>
          <w:szCs w:val="22"/>
          <w:lang w:val="pt-PT" w:eastAsia="en-US" w:bidi="ar-SA"/>
        </w:rPr>
      </w:pPr>
    </w:p>
    <w:p>
      <w:pPr>
        <w:pStyle w:val="43"/>
        <w:numPr>
          <w:ilvl w:val="0"/>
          <w:numId w:val="0"/>
        </w:numPr>
        <w:spacing w:before="0" w:after="0"/>
        <w:ind w:leftChars="0" w:right="0" w:rightChars="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 </w:t>
      </w:r>
      <w:r>
        <w:rPr>
          <w:rFonts w:ascii="Arial" w:hAnsi="Arial" w:eastAsia="Verdana" w:cs="Arial"/>
          <w:b w:val="0"/>
          <w:bCs/>
          <w:iCs/>
          <w:color w:val="auto"/>
          <w:sz w:val="22"/>
          <w:szCs w:val="22"/>
          <w:u w:val="single"/>
          <w:lang w:val="pt-PT" w:eastAsia="en-US" w:bidi="ar-SA"/>
        </w:rPr>
        <w:t>MODELO DE GESTÃO DO CONTRATO</w:t>
      </w:r>
    </w:p>
    <w:p>
      <w:pPr>
        <w:pStyle w:val="45"/>
        <w:widowControl/>
        <w:tabs>
          <w:tab w:val="left" w:pos="450"/>
        </w:tabs>
        <w:suppressAutoHyphens/>
        <w:bidi w:val="0"/>
        <w:spacing w:before="0" w:after="0" w:line="276" w:lineRule="auto"/>
        <w:ind w:right="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.1. O contrato deverá ser executado fielmente pelas partes, de acordo com as cláusulas avençadas e as normas da Lei nº 14.133, de 2021, e cada parte responderá pelas consequências de sua inexecução total ou parcial.</w:t>
      </w:r>
    </w:p>
    <w:p>
      <w:pPr>
        <w:pStyle w:val="45"/>
        <w:widowControl/>
        <w:tabs>
          <w:tab w:val="left" w:pos="450"/>
        </w:tabs>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.2. A execução do contrato deverá ser acompanhada e fiscalizada pelo(s) fiscal(is) do contrato, ou pelos respectivos substitutos.</w:t>
      </w:r>
    </w:p>
    <w:p>
      <w:pPr>
        <w:pStyle w:val="45"/>
        <w:widowControl/>
        <w:tabs>
          <w:tab w:val="left" w:pos="450"/>
        </w:tabs>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.3. O fiscal do contrato anotará em registro próprio todas as ocorrências relacionadas à execução do contrato, determinando o que for necessário para a regularização das faltas ou dos defeitos observados.</w:t>
      </w:r>
    </w:p>
    <w:p>
      <w:pPr>
        <w:pStyle w:val="45"/>
        <w:widowControl/>
        <w:tabs>
          <w:tab w:val="left" w:pos="450"/>
        </w:tabs>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 xml:space="preserve">.4. </w:t>
      </w:r>
      <w:bookmarkStart w:id="3" w:name="art117%252525252525252525252525252525252"/>
      <w:bookmarkEnd w:id="3"/>
      <w:r>
        <w:rPr>
          <w:rFonts w:ascii="Arial" w:hAnsi="Arial" w:eastAsia="Verdana" w:cs="Arial"/>
          <w:b w:val="0"/>
          <w:bCs/>
          <w:iCs/>
          <w:color w:val="auto"/>
          <w:sz w:val="22"/>
          <w:szCs w:val="22"/>
          <w:lang w:val="pt-PT" w:eastAsia="en-US" w:bidi="ar-SA"/>
        </w:rPr>
        <w:t>O fiscal do contrato informará a seus superiores, em tempo hábil para a adoção das medidas convenientes, a situação que demandar decisão ou providência que ultrapasse sua competência.</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.5. O contratado será obrigado a reparar, corrigir, remover, reconstruir ou substituir, a suas expensas, no total ou em parte, o objeto do contrato em que se verificarem vícios, defeitos ou incorreções resultantes de sua execução ou de materiais nela empregados.</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 xml:space="preserve">.6. </w:t>
      </w:r>
      <w:bookmarkStart w:id="4" w:name="art120"/>
      <w:bookmarkEnd w:id="4"/>
      <w:r>
        <w:rPr>
          <w:rFonts w:ascii="Arial" w:hAnsi="Arial" w:eastAsia="Verdana" w:cs="Arial"/>
          <w:b w:val="0"/>
          <w:bCs/>
          <w:iCs/>
          <w:color w:val="auto"/>
          <w:sz w:val="22"/>
          <w:szCs w:val="22"/>
          <w:lang w:val="pt-PT" w:eastAsia="en-US" w:bidi="ar-SA"/>
        </w:rPr>
        <w:t>O contratado será responsável pelos danos causados diretamente à Administração ou a terceiros em razão da execução do contrato, e não excluirá nem reduzirá essa responsabilidade a fiscalização ou o acompanhamento pelo contratante.</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.7. Somente o contratado será responsável pelos encargos trabalhistas, previdenciários, fiscais e comerciais resultantes da execução do contrato.</w:t>
      </w:r>
    </w:p>
    <w:p>
      <w:pPr>
        <w:pStyle w:val="46"/>
        <w:widowControl/>
        <w:tabs>
          <w:tab w:val="left" w:pos="450"/>
        </w:tabs>
        <w:suppressAutoHyphens/>
        <w:bidi w:val="0"/>
        <w:spacing w:before="0" w:after="0" w:line="276" w:lineRule="auto"/>
        <w:ind w:left="57" w:right="0" w:firstLine="0"/>
        <w:contextualSpacing/>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.8. A inadimplência do contratado em relação aos encargos trabalhistas, fiscais e comerciais não transferirá à Administração a responsabilidade pelo seu pagamento e não poderá onerar o objeto do contrato.</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.9. As comunicações entre o órgão ou entidade e a contratada devem ser realizadas por escrito sempre que o ato exigir tal formalidade, admitindo-se, excepcionalmente, o uso de mensagem eletrônica para esse fim.</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.10. O órgão ou entidade poderá convocar representante da empresa para adoção de providências que devam ser cumpridas de imediato.</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.11.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 xml:space="preserve">.12. </w:t>
      </w:r>
      <w:r>
        <w:rPr>
          <w:rFonts w:ascii="Arial" w:hAnsi="Arial" w:eastAsia="Verdana" w:cs="Arial"/>
          <w:b w:val="0"/>
          <w:bCs/>
          <w:iCs/>
          <w:color w:val="auto"/>
          <w:sz w:val="22"/>
          <w:szCs w:val="22"/>
          <w:lang w:val="pt-BR" w:eastAsia="en-US" w:bidi="ar-SA"/>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BR"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BR" w:eastAsia="en-US" w:bidi="ar-SA"/>
        </w:rPr>
        <w:t>.13. Para o acompanhamento, gestão e fiscalização da execução do presente contrato, serão designados em momento posterior, antes da execução do objeto, agentes públicos gestor/gestor substituto e fiscal/ fiscal substituto.</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.14. O</w:t>
      </w:r>
      <w:r>
        <w:rPr>
          <w:rFonts w:ascii="Arial" w:hAnsi="Arial" w:eastAsia="Verdana" w:cs="Arial"/>
          <w:b w:val="0"/>
          <w:bCs/>
          <w:iCs/>
          <w:color w:val="auto"/>
          <w:sz w:val="22"/>
          <w:szCs w:val="22"/>
          <w:lang w:val="pt-BR" w:eastAsia="en-US" w:bidi="ar-SA"/>
        </w:rPr>
        <w:t>(s)</w:t>
      </w:r>
      <w:r>
        <w:rPr>
          <w:rFonts w:ascii="Arial" w:hAnsi="Arial" w:eastAsia="Verdana" w:cs="Arial"/>
          <w:b w:val="0"/>
          <w:bCs/>
          <w:iCs/>
          <w:color w:val="auto"/>
          <w:sz w:val="22"/>
          <w:szCs w:val="22"/>
          <w:lang w:val="pt-PT" w:eastAsia="en-US" w:bidi="ar-SA"/>
        </w:rPr>
        <w:t xml:space="preserve"> fiscal</w:t>
      </w:r>
      <w:r>
        <w:rPr>
          <w:rFonts w:ascii="Arial" w:hAnsi="Arial" w:eastAsia="Verdana" w:cs="Arial"/>
          <w:b w:val="0"/>
          <w:bCs/>
          <w:iCs/>
          <w:color w:val="auto"/>
          <w:sz w:val="22"/>
          <w:szCs w:val="22"/>
          <w:lang w:val="pt-BR" w:eastAsia="en-US" w:bidi="ar-SA"/>
        </w:rPr>
        <w:t>(is)</w:t>
      </w:r>
      <w:r>
        <w:rPr>
          <w:rFonts w:ascii="Arial" w:hAnsi="Arial" w:eastAsia="Verdana" w:cs="Arial"/>
          <w:b w:val="0"/>
          <w:bCs/>
          <w:iCs/>
          <w:color w:val="auto"/>
          <w:sz w:val="22"/>
          <w:szCs w:val="22"/>
          <w:lang w:val="pt-PT" w:eastAsia="en-US" w:bidi="ar-SA"/>
        </w:rPr>
        <w:t xml:space="preserve"> designado pela Contratante deverá ter a experiência necessária para o acompanhamento e controle da execução dos serviços e do contrato;</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PT" w:eastAsia="en-US" w:bidi="ar-SA"/>
        </w:rPr>
        <w:t>.15. A fiscalização</w:t>
      </w:r>
      <w:r>
        <w:rPr>
          <w:rFonts w:ascii="Arial" w:hAnsi="Arial" w:eastAsia="Verdana" w:cs="Arial"/>
          <w:b w:val="0"/>
          <w:bCs/>
          <w:iCs/>
          <w:color w:val="auto"/>
          <w:sz w:val="22"/>
          <w:szCs w:val="22"/>
          <w:lang w:val="pt-BR" w:eastAsia="en-US" w:bidi="ar-SA"/>
        </w:rPr>
        <w:t xml:space="preserve"> </w:t>
      </w:r>
      <w:r>
        <w:rPr>
          <w:rFonts w:ascii="Arial" w:hAnsi="Arial" w:eastAsia="Verdana" w:cs="Arial"/>
          <w:b w:val="0"/>
          <w:bCs/>
          <w:iCs/>
          <w:color w:val="auto"/>
          <w:sz w:val="22"/>
          <w:szCs w:val="22"/>
          <w:lang w:val="pt-PT" w:eastAsia="en-US" w:bidi="ar-SA"/>
        </w:rPr>
        <w:t>não exclui nem reduz a responsabilidade da Contratada pelos danos causados à Administração ou a terceiros, decorrentes de sua culpa ou dolo na execução do contrato, não excluindo ou reduzindo essa responsabilidade a fiscalização ou o acompanhamento pelo órgão</w:t>
      </w:r>
      <w:r>
        <w:rPr>
          <w:rFonts w:ascii="Arial" w:hAnsi="Arial" w:eastAsia="Verdana" w:cs="Arial"/>
          <w:b w:val="0"/>
          <w:bCs/>
          <w:iCs/>
          <w:color w:val="auto"/>
          <w:sz w:val="22"/>
          <w:szCs w:val="22"/>
          <w:lang w:val="pt-BR" w:eastAsia="en-US" w:bidi="ar-SA"/>
        </w:rPr>
        <w:t>.</w:t>
      </w:r>
    </w:p>
    <w:p>
      <w:pPr>
        <w:pStyle w:val="45"/>
        <w:widowControl/>
        <w:suppressAutoHyphens/>
        <w:bidi w:val="0"/>
        <w:spacing w:before="0" w:after="0" w:line="276" w:lineRule="auto"/>
        <w:ind w:left="57" w:right="0" w:firstLine="0"/>
        <w:jc w:val="both"/>
        <w:rPr>
          <w:rFonts w:ascii="Arial" w:hAnsi="Arial" w:eastAsia="Verdana" w:cs="Arial"/>
          <w:b w:val="0"/>
          <w:bCs/>
          <w:iCs/>
          <w:color w:val="auto"/>
          <w:sz w:val="22"/>
          <w:szCs w:val="22"/>
          <w:lang w:val="pt-BR" w:eastAsia="en-US" w:bidi="ar-SA"/>
        </w:rPr>
      </w:pPr>
      <w:r>
        <w:rPr>
          <w:rFonts w:hint="default" w:eastAsia="Verdana" w:cs="Arial"/>
          <w:b w:val="0"/>
          <w:bCs/>
          <w:iCs/>
          <w:color w:val="auto"/>
          <w:sz w:val="22"/>
          <w:szCs w:val="22"/>
          <w:lang w:val="pt-BR" w:eastAsia="en-US" w:bidi="ar-SA"/>
        </w:rPr>
        <w:t>3.2</w:t>
      </w:r>
      <w:r>
        <w:rPr>
          <w:rFonts w:ascii="Arial" w:hAnsi="Arial" w:eastAsia="Verdana" w:cs="Arial"/>
          <w:b w:val="0"/>
          <w:bCs/>
          <w:iCs/>
          <w:color w:val="auto"/>
          <w:sz w:val="22"/>
          <w:szCs w:val="22"/>
          <w:lang w:val="pt-BR" w:eastAsia="en-US" w:bidi="ar-SA"/>
        </w:rPr>
        <w:t>.16.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ascii="Arial" w:hAnsi="Arial" w:cs="Arial"/>
          <w:bCs/>
          <w:i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color w:val="auto"/>
        </w:rPr>
      </w:pPr>
      <w:r>
        <w:rPr>
          <w:rFonts w:hint="default" w:ascii="Arial" w:hAnsi="Arial" w:cs="Arial"/>
          <w:bCs/>
          <w:iCs/>
          <w:color w:val="auto"/>
          <w:lang w:val="en-US" w:eastAsia="pt-BR"/>
        </w:rPr>
        <w:t xml:space="preserve">6.1 </w:t>
      </w:r>
      <w:r>
        <w:rPr>
          <w:rFonts w:ascii="Arial" w:hAnsi="Arial" w:cs="Arial"/>
          <w:bCs/>
          <w:iCs/>
          <w:color w:val="auto"/>
        </w:rPr>
        <w:t>As notas fiscais deverão ser emitidas em nome do:</w:t>
      </w:r>
      <w:r>
        <w:rPr>
          <w:rFonts w:hint="default" w:ascii="Arial" w:hAnsi="Arial" w:cs="Arial"/>
          <w:bCs/>
          <w:iCs/>
          <w:color w:val="auto"/>
          <w:lang w:val="pt-BR"/>
        </w:rPr>
        <w:t xml:space="preserve"> </w:t>
      </w:r>
      <w:r>
        <w:rPr>
          <w:rFonts w:ascii="Arial" w:hAnsi="Arial" w:cs="Arial"/>
          <w:b/>
          <w:bCs w:val="0"/>
          <w:iCs/>
          <w:color w:val="auto"/>
        </w:rPr>
        <w:t>FUNDO MUNICIPAL DE SAÚDE</w:t>
      </w:r>
    </w:p>
    <w:p>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color w:val="auto"/>
        </w:rPr>
      </w:pPr>
      <w:r>
        <w:rPr>
          <w:rFonts w:ascii="Arial" w:hAnsi="Arial" w:cs="Arial"/>
          <w:b/>
          <w:bCs w:val="0"/>
          <w:iCs/>
          <w:color w:val="auto"/>
        </w:rPr>
        <w:t>CNPJ: 11.399.442/0001-79</w:t>
      </w:r>
      <w:r>
        <w:rPr>
          <w:rFonts w:hint="default" w:ascii="Arial" w:hAnsi="Arial" w:cs="Arial"/>
          <w:b/>
          <w:bCs w:val="0"/>
          <w:iCs/>
          <w:color w:val="auto"/>
          <w:lang w:val="pt-BR"/>
        </w:rPr>
        <w:t xml:space="preserve"> - </w:t>
      </w:r>
      <w:r>
        <w:rPr>
          <w:rFonts w:ascii="Arial" w:hAnsi="Arial" w:cs="Arial"/>
          <w:b/>
          <w:bCs w:val="0"/>
          <w:iCs/>
          <w:color w:val="auto"/>
        </w:rPr>
        <w:t>AVENIDA ALBERTO BRAUNE, Nº 224, SALA 221, CENTRO, NOVA FRIBURGO/RJ, CEP 28613-001.</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6.2 </w:t>
      </w:r>
      <w:r>
        <w:rPr>
          <w:rFonts w:ascii="Arial" w:hAnsi="Arial" w:cs="Arial"/>
          <w:bCs/>
          <w:iCs/>
          <w:color w:val="auto"/>
          <w:lang w:val="pt-BR"/>
        </w:rPr>
        <w:t>Todos os itens deverão ser entregues ao Hospital Maternidade Dr. Mario Dutra de Castro, situado à Travessa Antônio Fernandes Moreira, nº 12, Centro, Nova Friburgo, RJ.</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lang w:val="pt-BR"/>
        </w:rPr>
      </w:pPr>
      <w:r>
        <w:rPr>
          <w:rFonts w:hint="default" w:ascii="Arial" w:hAnsi="Arial" w:cs="Arial"/>
          <w:bCs/>
          <w:iCs/>
          <w:color w:val="auto"/>
          <w:lang w:val="pt-BR"/>
        </w:rPr>
        <w:t>6.3</w:t>
      </w:r>
      <w:r>
        <w:rPr>
          <w:rFonts w:ascii="Arial" w:hAnsi="Arial" w:cs="Arial"/>
          <w:bCs/>
          <w:iCs/>
          <w:color w:val="auto"/>
          <w:lang w:val="pt-BR"/>
        </w:rPr>
        <w:t xml:space="preserve"> Da liquidação da despesa:</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lang w:val="pt-BR"/>
        </w:rPr>
      </w:pPr>
      <w:r>
        <w:rPr>
          <w:rFonts w:hint="default" w:ascii="Arial" w:hAnsi="Arial" w:cs="Arial"/>
          <w:bCs/>
          <w:iCs/>
          <w:color w:val="auto"/>
          <w:lang w:val="pt-BR"/>
        </w:rPr>
        <w:t>6.3.1</w:t>
      </w:r>
      <w:r>
        <w:rPr>
          <w:rFonts w:ascii="Arial" w:hAnsi="Arial" w:cs="Arial"/>
          <w:bCs/>
          <w:iCs/>
          <w:color w:val="auto"/>
          <w:lang w:val="pt-BR"/>
        </w:rPr>
        <w:t xml:space="preserve"> A liquidação será realizada pela Secretaria Municipal de Fazenda, a partir do cumprimento das obrigações elencadas neste Termo de Referência, em obediência ao Decreto nº 2493, de 07 de novembro de 2023, </w:t>
      </w:r>
      <w:r>
        <w:rPr>
          <w:rFonts w:ascii="Arial" w:hAnsi="Arial" w:cs="Arial"/>
          <w:bCs/>
          <w:iCs/>
          <w:color w:val="auto"/>
        </w:rPr>
        <w:fldChar w:fldCharType="begin"/>
      </w:r>
      <w:r>
        <w:rPr>
          <w:rFonts w:ascii="Arial" w:hAnsi="Arial" w:cs="Arial"/>
          <w:bCs/>
          <w:iCs/>
          <w:color w:val="auto"/>
        </w:rPr>
        <w:instrText xml:space="preserve"> HYPERLINK "https://pmnf.rj.gov.br/paginas-centralizadas/9_64_Legislacoes.html" \h </w:instrText>
      </w:r>
      <w:r>
        <w:rPr>
          <w:rFonts w:ascii="Arial" w:hAnsi="Arial" w:cs="Arial"/>
          <w:bCs/>
          <w:iCs/>
          <w:color w:val="auto"/>
        </w:rPr>
        <w:fldChar w:fldCharType="separate"/>
      </w:r>
      <w:r>
        <w:rPr>
          <w:rFonts w:ascii="Arial" w:hAnsi="Arial" w:cs="Arial"/>
          <w:bCs/>
          <w:iCs/>
          <w:color w:val="auto"/>
          <w:lang w:val="pt-BR" w:eastAsia="en-US"/>
        </w:rPr>
        <w:t>https://pmnf.rj.gov.br/paginas-centralizadas/9_64_Legislacoes.html</w:t>
      </w:r>
      <w:r>
        <w:rPr>
          <w:rFonts w:ascii="Arial" w:hAnsi="Arial" w:cs="Arial"/>
          <w:bCs/>
          <w:iCs/>
          <w:color w:val="auto"/>
          <w:lang w:val="pt-BR" w:eastAsia="en-US"/>
        </w:rPr>
        <w:fldChar w:fldCharType="end"/>
      </w:r>
      <w:r>
        <w:rPr>
          <w:rFonts w:ascii="Arial" w:hAnsi="Arial" w:cs="Arial"/>
          <w:bCs/>
          <w:iCs/>
          <w:color w:val="auto"/>
        </w:rPr>
        <w:fldChar w:fldCharType="begin"/>
      </w:r>
      <w:r>
        <w:rPr>
          <w:rFonts w:ascii="Arial" w:hAnsi="Arial" w:cs="Arial"/>
          <w:bCs/>
          <w:iCs/>
          <w:color w:val="auto"/>
        </w:rPr>
        <w:instrText xml:space="preserve"> HYPERLINK "https://pmnf.rj.gov.br/paginas-centralizadas/9_64_Legislacoes.html." \h </w:instrText>
      </w:r>
      <w:r>
        <w:rPr>
          <w:rFonts w:ascii="Arial" w:hAnsi="Arial" w:cs="Arial"/>
          <w:bCs/>
          <w:iCs/>
          <w:color w:val="auto"/>
        </w:rPr>
        <w:fldChar w:fldCharType="separate"/>
      </w:r>
      <w:r>
        <w:rPr>
          <w:rFonts w:ascii="Arial" w:hAnsi="Arial" w:cs="Arial"/>
          <w:bCs/>
          <w:iCs/>
          <w:color w:val="auto"/>
          <w:lang w:val="pt-BR"/>
        </w:rPr>
        <w:t>.</w:t>
      </w:r>
      <w:r>
        <w:rPr>
          <w:rFonts w:ascii="Arial" w:hAnsi="Arial" w:cs="Arial"/>
          <w:bCs/>
          <w:iCs/>
          <w:color w:val="auto"/>
          <w:lang w:val="pt-BR"/>
        </w:rPr>
        <w:fldChar w:fldCharType="end"/>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6.3.2</w:t>
      </w:r>
      <w:r>
        <w:rPr>
          <w:rFonts w:ascii="Arial" w:hAnsi="Arial" w:cs="Arial"/>
          <w:bCs/>
          <w:iCs/>
          <w:color w:val="auto"/>
          <w:lang w:val="pt-BR"/>
        </w:rPr>
        <w:t xml:space="preserve"> Deverá ser observado no momento da emissão do Documento Fiscal e na liquidação da despesa os dispositivos do Decreto Municipal nº 2.480/2023, o qual dispõe sobre arrecadação do Imposto de Renda incidente na fonte de que trata o art. 157, inciso I, da Constituição Federal, nos pagamentos a pessoas jurídicas efetuados por órgãos, Fundos e Fundação </w:t>
      </w:r>
      <w:r>
        <w:rPr>
          <w:rFonts w:ascii="Arial" w:hAnsi="Arial" w:cs="Arial"/>
          <w:bCs/>
          <w:iCs/>
          <w:color w:val="auto"/>
          <w:lang w:val="pt-BR" w:eastAsia="en-US"/>
        </w:rPr>
        <w:t>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2012.https://pmnf.rj.gov.br/paginas-centralizadas/9_64_Legislacoes.html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lang w:val="pt-BR"/>
        </w:rPr>
      </w:pPr>
      <w:r>
        <w:rPr>
          <w:rFonts w:hint="default" w:ascii="Arial" w:hAnsi="Arial" w:cs="Arial"/>
          <w:bCs/>
          <w:iCs/>
          <w:color w:val="auto"/>
          <w:lang w:val="pt-BR"/>
        </w:rPr>
        <w:t>6</w:t>
      </w:r>
      <w:r>
        <w:rPr>
          <w:rFonts w:ascii="Arial" w:hAnsi="Arial" w:cs="Arial"/>
          <w:bCs/>
          <w:iCs/>
          <w:color w:val="auto"/>
          <w:lang w:val="pt-BR"/>
        </w:rPr>
        <w:t>.4 Do pagamento da despesa:</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6.4.1</w:t>
      </w:r>
      <w:r>
        <w:rPr>
          <w:rFonts w:ascii="Arial" w:hAnsi="Arial" w:cs="Arial"/>
          <w:bCs/>
          <w:iCs/>
          <w:color w:val="auto"/>
          <w:lang w:val="pt-BR" w:eastAsia="en-US"/>
        </w:rPr>
        <w:t xml:space="preserve"> </w:t>
      </w:r>
      <w:r>
        <w:rPr>
          <w:rFonts w:ascii="Arial" w:hAnsi="Arial" w:cs="Arial"/>
          <w:bCs/>
          <w:iCs/>
          <w:color w:val="auto"/>
          <w:lang w:eastAsia="en-US"/>
        </w:rPr>
        <w:t>O pagamento será efetuado conforme estabelecido no Decreto</w:t>
      </w:r>
      <w:r>
        <w:rPr>
          <w:rFonts w:ascii="Arial" w:hAnsi="Arial" w:cs="Arial"/>
          <w:bCs/>
          <w:iCs/>
          <w:color w:val="auto"/>
          <w:lang w:val="pt-BR" w:eastAsia="en-US"/>
        </w:rPr>
        <w:t xml:space="preserve"> Municipal</w:t>
      </w:r>
      <w:r>
        <w:rPr>
          <w:rFonts w:ascii="Arial" w:hAnsi="Arial" w:cs="Arial"/>
          <w:bCs/>
          <w:iCs/>
          <w:color w:val="auto"/>
          <w:lang w:eastAsia="en-US"/>
        </w:rPr>
        <w:t xml:space="preserve"> nº </w:t>
      </w:r>
      <w:r>
        <w:rPr>
          <w:rFonts w:ascii="Arial" w:hAnsi="Arial" w:cs="Arial"/>
          <w:bCs/>
          <w:iCs/>
          <w:color w:val="auto"/>
          <w:lang w:val="pt-BR" w:eastAsia="en-US"/>
        </w:rPr>
        <w:t>2493,</w:t>
      </w:r>
      <w:r>
        <w:rPr>
          <w:rFonts w:ascii="Arial" w:hAnsi="Arial" w:cs="Arial"/>
          <w:bCs/>
          <w:iCs/>
          <w:color w:val="auto"/>
          <w:lang w:eastAsia="en-US"/>
        </w:rPr>
        <w:t xml:space="preserve"> de </w:t>
      </w:r>
      <w:r>
        <w:rPr>
          <w:rFonts w:ascii="Arial" w:hAnsi="Arial" w:cs="Arial"/>
          <w:bCs/>
          <w:iCs/>
          <w:color w:val="auto"/>
          <w:lang w:val="pt-BR" w:eastAsia="en-US"/>
        </w:rPr>
        <w:t>0</w:t>
      </w:r>
      <w:r>
        <w:rPr>
          <w:rFonts w:ascii="Arial" w:hAnsi="Arial" w:cs="Arial"/>
          <w:bCs/>
          <w:iCs/>
          <w:color w:val="auto"/>
          <w:lang w:eastAsia="en-US"/>
        </w:rPr>
        <w:t xml:space="preserve">7 de </w:t>
      </w:r>
      <w:r>
        <w:rPr>
          <w:rFonts w:ascii="Arial" w:hAnsi="Arial" w:cs="Arial"/>
          <w:bCs/>
          <w:iCs/>
          <w:color w:val="auto"/>
          <w:lang w:val="pt-BR" w:eastAsia="en-US"/>
        </w:rPr>
        <w:t>novem</w:t>
      </w:r>
      <w:r>
        <w:rPr>
          <w:rFonts w:ascii="Arial" w:hAnsi="Arial" w:cs="Arial"/>
          <w:bCs/>
          <w:iCs/>
          <w:color w:val="auto"/>
          <w:lang w:eastAsia="en-US"/>
        </w:rPr>
        <w:t>bro de 20</w:t>
      </w:r>
      <w:r>
        <w:rPr>
          <w:rFonts w:ascii="Arial" w:hAnsi="Arial" w:cs="Arial"/>
          <w:bCs/>
          <w:iCs/>
          <w:color w:val="auto"/>
          <w:lang w:val="pt-BR" w:eastAsia="en-US"/>
        </w:rPr>
        <w:t>23</w:t>
      </w:r>
      <w:r>
        <w:rPr>
          <w:rFonts w:ascii="Arial" w:hAnsi="Arial" w:cs="Arial"/>
          <w:bCs/>
          <w:iCs/>
          <w:color w:val="auto"/>
          <w:lang w:eastAsia="en-US"/>
        </w:rPr>
        <w:t>, desde que as certidões listadas abaixo estejam dentro da validade</w:t>
      </w:r>
      <w:r>
        <w:rPr>
          <w:rFonts w:ascii="Arial" w:hAnsi="Arial" w:cs="Arial"/>
          <w:bCs/>
          <w:iCs/>
          <w:color w:val="auto"/>
        </w:rPr>
        <w:t>:</w:t>
      </w:r>
      <w:r>
        <w:rPr>
          <w:rFonts w:hint="default" w:ascii="Arial" w:hAnsi="Arial" w:cs="Arial"/>
          <w:bCs/>
          <w:iCs/>
          <w:color w:val="auto"/>
          <w:lang w:val="pt-BR"/>
        </w:rPr>
        <w:t xml:space="preserve"> </w:t>
      </w:r>
      <w:r>
        <w:rPr>
          <w:rFonts w:ascii="Arial" w:hAnsi="Arial" w:cs="Arial"/>
          <w:bCs/>
          <w:iCs/>
          <w:color w:val="auto"/>
        </w:rPr>
        <w:t>Negativa de Débitos Trabalhistas;</w:t>
      </w:r>
      <w:r>
        <w:rPr>
          <w:rFonts w:ascii="Arial" w:hAnsi="Arial" w:cs="Arial"/>
          <w:bCs/>
          <w:iCs/>
          <w:color w:val="auto"/>
          <w:lang w:val="pt-BR"/>
        </w:rPr>
        <w:t xml:space="preserve"> </w:t>
      </w:r>
      <w:r>
        <w:rPr>
          <w:rFonts w:ascii="Arial" w:hAnsi="Arial" w:cs="Arial"/>
          <w:bCs/>
          <w:iCs/>
          <w:color w:val="auto"/>
        </w:rPr>
        <w:t>Fazenda Federal – abrange as contribuições sociais;</w:t>
      </w:r>
      <w:r>
        <w:rPr>
          <w:rFonts w:ascii="Arial" w:hAnsi="Arial" w:cs="Arial"/>
          <w:bCs/>
          <w:iCs/>
          <w:color w:val="auto"/>
          <w:lang w:val="pt-BR"/>
        </w:rPr>
        <w:t xml:space="preserve"> </w:t>
      </w:r>
      <w:r>
        <w:rPr>
          <w:rFonts w:ascii="Arial" w:hAnsi="Arial" w:cs="Arial"/>
          <w:bCs/>
          <w:iCs/>
          <w:color w:val="auto"/>
        </w:rPr>
        <w:t>FGTS;</w:t>
      </w:r>
      <w:r>
        <w:rPr>
          <w:rFonts w:ascii="Arial" w:hAnsi="Arial" w:cs="Arial"/>
          <w:bCs/>
          <w:iCs/>
          <w:color w:val="auto"/>
          <w:lang w:val="pt-BR"/>
        </w:rPr>
        <w:t xml:space="preserve"> </w:t>
      </w:r>
      <w:r>
        <w:rPr>
          <w:rFonts w:ascii="Arial" w:hAnsi="Arial" w:cs="Arial"/>
          <w:bCs/>
          <w:iCs/>
          <w:color w:val="auto"/>
        </w:rPr>
        <w:t>PGE – referente à Dívida Ativa Estadual;</w:t>
      </w:r>
      <w:r>
        <w:rPr>
          <w:rFonts w:ascii="Arial" w:hAnsi="Arial" w:cs="Arial"/>
          <w:bCs/>
          <w:iCs/>
          <w:color w:val="auto"/>
          <w:lang w:val="pt-BR"/>
        </w:rPr>
        <w:t xml:space="preserve"> </w:t>
      </w:r>
      <w:r>
        <w:rPr>
          <w:rFonts w:ascii="Arial" w:hAnsi="Arial" w:cs="Arial"/>
          <w:bCs/>
          <w:iCs/>
          <w:color w:val="auto"/>
        </w:rPr>
        <w:t>Municipal – referente ao ISS e Dívida Ativa;</w:t>
      </w:r>
      <w:r>
        <w:rPr>
          <w:rFonts w:ascii="Arial" w:hAnsi="Arial" w:cs="Arial"/>
          <w:bCs/>
          <w:iCs/>
          <w:color w:val="auto"/>
          <w:lang w:val="pt-BR"/>
        </w:rPr>
        <w:t xml:space="preserve"> </w:t>
      </w:r>
      <w:r>
        <w:rPr>
          <w:rFonts w:ascii="Arial" w:hAnsi="Arial" w:cs="Arial"/>
          <w:bCs/>
          <w:iCs/>
          <w:color w:val="auto"/>
        </w:rPr>
        <w:t>Estadual CND – referente ao ICMS.</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6.4.2</w:t>
      </w:r>
      <w:r>
        <w:rPr>
          <w:rFonts w:ascii="Arial" w:hAnsi="Arial" w:cs="Arial"/>
          <w:bCs/>
          <w:iCs/>
          <w:color w:val="auto"/>
          <w:lang w:val="pt-BR"/>
        </w:rPr>
        <w:t xml:space="preserve"> </w:t>
      </w:r>
      <w:r>
        <w:rPr>
          <w:rFonts w:ascii="Arial" w:hAnsi="Arial" w:cs="Arial"/>
          <w:bCs/>
          <w:iCs/>
          <w:color w:val="auto"/>
        </w:rPr>
        <w:t xml:space="preserve">A Nota Fiscal  deverá conter a identificação do Banco, número da Agência e da Conta Corrente, para que possibilite o CONTRATANTE efetuar o pagamento do valor devido;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6.4.3</w:t>
      </w:r>
      <w:r>
        <w:rPr>
          <w:rFonts w:ascii="Arial" w:hAnsi="Arial" w:cs="Arial"/>
          <w:bCs/>
          <w:iCs/>
          <w:color w:val="auto"/>
          <w:lang w:val="pt-BR"/>
        </w:rPr>
        <w:t xml:space="preserve"> </w:t>
      </w:r>
      <w:r>
        <w:rPr>
          <w:rFonts w:ascii="Arial" w:hAnsi="Arial" w:cs="Arial"/>
          <w:bCs/>
          <w:iCs/>
          <w:color w:val="auto"/>
        </w:rPr>
        <w:t>Na ocorrência de rejeição da(s) Nota(s) Fiscal (s), motivada por erro ou incorreções, o prazo para pagamento estipulado acima passará a ser contado a partir da data de sua reapresentação.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6.4.4</w:t>
      </w:r>
      <w:r>
        <w:rPr>
          <w:rFonts w:ascii="Arial" w:hAnsi="Arial" w:cs="Arial"/>
          <w:bCs/>
          <w:iCs/>
          <w:color w:val="auto"/>
          <w:lang w:val="pt-BR"/>
        </w:rPr>
        <w:t xml:space="preserve"> </w:t>
      </w:r>
      <w:r>
        <w:rPr>
          <w:rFonts w:ascii="Arial" w:hAnsi="Arial" w:cs="Arial"/>
          <w:bCs/>
          <w:iCs/>
          <w:color w:val="auto"/>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 xml:space="preserve">6.4.5 </w:t>
      </w:r>
      <w:r>
        <w:rPr>
          <w:rFonts w:ascii="Arial" w:hAnsi="Arial" w:cs="Arial"/>
          <w:bCs/>
          <w:iCs/>
          <w:color w:val="auto"/>
        </w:rPr>
        <w:t>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5" w:name="_Hlk114504069"/>
      <w:r>
        <w:rPr>
          <w:rStyle w:val="9"/>
          <w:rFonts w:ascii="Arial" w:hAnsi="Arial" w:eastAsia="Arial" w:cs="Arial"/>
        </w:rPr>
        <w:t>Lei nº 14.133, de 2021</w:t>
      </w:r>
      <w:bookmarkEnd w:id="5"/>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19"/>
        <w:numPr>
          <w:ilvl w:val="0"/>
          <w:numId w:val="0"/>
        </w:numPr>
        <w:tabs>
          <w:tab w:val="left" w:pos="426"/>
        </w:tabs>
        <w:ind w:leftChars="0"/>
        <w:jc w:val="both"/>
        <w:rPr>
          <w:rFonts w:ascii="Arial" w:hAnsi="Arial" w:cs="Arial"/>
          <w:lang w:val="pt-BR"/>
        </w:rPr>
      </w:pPr>
      <w:r>
        <w:rPr>
          <w:rFonts w:hint="default" w:ascii="Arial" w:hAnsi="Arial" w:cs="Arial"/>
          <w:lang w:val="pt-BR"/>
        </w:rPr>
        <w:t xml:space="preserve">13.1 </w:t>
      </w:r>
      <w:r>
        <w:rPr>
          <w:rFonts w:ascii="Arial" w:hAnsi="Arial" w:cs="Arial"/>
          <w:lang w:val="pt-BR"/>
        </w:rPr>
        <w:t>As despesas decorrentes da presente contratação correrão à conta de recursos específicos consignados no Orçamento do Município, na forma abaixo:</w:t>
      </w:r>
    </w:p>
    <w:p>
      <w:pPr>
        <w:pStyle w:val="19"/>
        <w:numPr>
          <w:ilvl w:val="0"/>
          <w:numId w:val="0"/>
        </w:numPr>
        <w:tabs>
          <w:tab w:val="left" w:pos="426"/>
        </w:tabs>
        <w:ind w:leftChars="0"/>
        <w:jc w:val="both"/>
        <w:rPr>
          <w:rFonts w:ascii="Arial" w:hAnsi="Arial" w:cs="Arial"/>
          <w:lang w:val="pt-BR"/>
        </w:rPr>
      </w:pPr>
    </w:p>
    <w:tbl>
      <w:tblPr>
        <w:tblStyle w:val="6"/>
        <w:tblW w:w="9315" w:type="dxa"/>
        <w:tblInd w:w="138" w:type="dxa"/>
        <w:tblLayout w:type="autofit"/>
        <w:tblCellMar>
          <w:top w:w="0" w:type="dxa"/>
          <w:left w:w="108" w:type="dxa"/>
          <w:bottom w:w="0" w:type="dxa"/>
          <w:right w:w="108" w:type="dxa"/>
        </w:tblCellMar>
      </w:tblPr>
      <w:tblGrid>
        <w:gridCol w:w="2384"/>
        <w:gridCol w:w="3061"/>
        <w:gridCol w:w="1260"/>
        <w:gridCol w:w="2610"/>
      </w:tblGrid>
      <w:tr>
        <w:tblPrEx>
          <w:tblCellMar>
            <w:top w:w="0" w:type="dxa"/>
            <w:left w:w="108" w:type="dxa"/>
            <w:bottom w:w="0" w:type="dxa"/>
            <w:right w:w="108" w:type="dxa"/>
          </w:tblCellMar>
        </w:tblPrEx>
        <w:tc>
          <w:tcPr>
            <w:tcW w:w="2384" w:type="dxa"/>
            <w:shd w:val="clear" w:color="auto" w:fill="auto"/>
            <w:vAlign w:val="center"/>
          </w:tcPr>
          <w:p>
            <w:pPr>
              <w:pStyle w:val="19"/>
              <w:numPr>
                <w:ilvl w:val="0"/>
                <w:numId w:val="0"/>
              </w:numPr>
              <w:tabs>
                <w:tab w:val="left" w:pos="426"/>
              </w:tabs>
              <w:ind w:leftChars="0"/>
              <w:jc w:val="both"/>
              <w:rPr>
                <w:rFonts w:ascii="Arial" w:hAnsi="Arial" w:cs="Arial"/>
                <w:b/>
                <w:bCs/>
                <w:lang w:val="pt-BR"/>
              </w:rPr>
            </w:pPr>
            <w:r>
              <w:rPr>
                <w:rFonts w:ascii="Arial" w:hAnsi="Arial" w:cs="Arial"/>
                <w:b/>
                <w:bCs/>
                <w:lang w:val="pt-BR"/>
              </w:rPr>
              <w:t>Órgão/Unidade Orçamentária</w:t>
            </w:r>
          </w:p>
        </w:tc>
        <w:tc>
          <w:tcPr>
            <w:tcW w:w="3061" w:type="dxa"/>
            <w:shd w:val="clear" w:color="auto" w:fill="auto"/>
            <w:vAlign w:val="center"/>
          </w:tcPr>
          <w:p>
            <w:pPr>
              <w:pStyle w:val="19"/>
              <w:numPr>
                <w:ilvl w:val="0"/>
                <w:numId w:val="0"/>
              </w:numPr>
              <w:tabs>
                <w:tab w:val="left" w:pos="426"/>
              </w:tabs>
              <w:ind w:leftChars="0"/>
              <w:jc w:val="both"/>
              <w:rPr>
                <w:rFonts w:ascii="Arial" w:hAnsi="Arial" w:cs="Arial"/>
                <w:b/>
                <w:bCs/>
                <w:lang w:val="pt-BR"/>
              </w:rPr>
            </w:pPr>
            <w:r>
              <w:rPr>
                <w:rFonts w:ascii="Arial" w:hAnsi="Arial" w:cs="Arial"/>
                <w:b/>
                <w:bCs/>
                <w:lang w:val="pt-BR"/>
              </w:rPr>
              <w:t>Programa de Trabalho</w:t>
            </w:r>
          </w:p>
        </w:tc>
        <w:tc>
          <w:tcPr>
            <w:tcW w:w="1260" w:type="dxa"/>
            <w:shd w:val="clear" w:color="auto" w:fill="auto"/>
            <w:vAlign w:val="center"/>
          </w:tcPr>
          <w:p>
            <w:pPr>
              <w:pStyle w:val="19"/>
              <w:numPr>
                <w:ilvl w:val="0"/>
                <w:numId w:val="0"/>
              </w:numPr>
              <w:tabs>
                <w:tab w:val="left" w:pos="426"/>
              </w:tabs>
              <w:ind w:leftChars="0"/>
              <w:jc w:val="both"/>
              <w:rPr>
                <w:rFonts w:ascii="Arial" w:hAnsi="Arial" w:cs="Arial"/>
                <w:b/>
                <w:bCs/>
                <w:lang w:val="pt-BR"/>
              </w:rPr>
            </w:pPr>
            <w:r>
              <w:rPr>
                <w:rFonts w:ascii="Arial" w:hAnsi="Arial" w:cs="Arial"/>
                <w:b/>
                <w:bCs/>
                <w:lang w:val="pt-BR"/>
              </w:rPr>
              <w:t xml:space="preserve">Fonte </w:t>
            </w:r>
          </w:p>
        </w:tc>
        <w:tc>
          <w:tcPr>
            <w:tcW w:w="2610" w:type="dxa"/>
            <w:shd w:val="clear" w:color="auto" w:fill="auto"/>
            <w:vAlign w:val="center"/>
          </w:tcPr>
          <w:p>
            <w:pPr>
              <w:pStyle w:val="19"/>
              <w:numPr>
                <w:ilvl w:val="0"/>
                <w:numId w:val="0"/>
              </w:numPr>
              <w:tabs>
                <w:tab w:val="left" w:pos="426"/>
              </w:tabs>
              <w:ind w:leftChars="0"/>
              <w:jc w:val="both"/>
              <w:rPr>
                <w:rFonts w:ascii="Arial" w:hAnsi="Arial" w:cs="Arial"/>
                <w:b/>
                <w:bCs/>
                <w:lang w:val="pt-BR"/>
              </w:rPr>
            </w:pPr>
            <w:r>
              <w:rPr>
                <w:rFonts w:ascii="Arial" w:hAnsi="Arial" w:cs="Arial"/>
                <w:b/>
                <w:bCs/>
                <w:lang w:val="pt-BR"/>
              </w:rPr>
              <w:t>Natureza da Despesa</w:t>
            </w:r>
          </w:p>
        </w:tc>
      </w:tr>
      <w:tr>
        <w:tblPrEx>
          <w:tblCellMar>
            <w:top w:w="0" w:type="dxa"/>
            <w:left w:w="108" w:type="dxa"/>
            <w:bottom w:w="0" w:type="dxa"/>
            <w:right w:w="108" w:type="dxa"/>
          </w:tblCellMar>
        </w:tblPrEx>
        <w:trPr>
          <w:trHeight w:val="613" w:hRule="atLeast"/>
        </w:trPr>
        <w:tc>
          <w:tcPr>
            <w:tcW w:w="2384" w:type="dxa"/>
            <w:shd w:val="clear" w:color="auto" w:fill="auto"/>
            <w:vAlign w:val="center"/>
          </w:tcPr>
          <w:p>
            <w:pPr>
              <w:pStyle w:val="19"/>
              <w:numPr>
                <w:ilvl w:val="0"/>
                <w:numId w:val="0"/>
              </w:numPr>
              <w:tabs>
                <w:tab w:val="left" w:pos="426"/>
              </w:tabs>
              <w:ind w:leftChars="0"/>
              <w:jc w:val="both"/>
              <w:rPr>
                <w:rFonts w:ascii="Arial" w:hAnsi="Arial" w:cs="Arial"/>
                <w:lang w:val="pt-BR"/>
              </w:rPr>
            </w:pPr>
            <w:r>
              <w:rPr>
                <w:rFonts w:ascii="Arial" w:hAnsi="Arial" w:cs="Arial"/>
                <w:lang w:val="pt-BR"/>
              </w:rPr>
              <w:t>Hospital Maternidade</w:t>
            </w:r>
          </w:p>
        </w:tc>
        <w:tc>
          <w:tcPr>
            <w:tcW w:w="3061" w:type="dxa"/>
            <w:shd w:val="clear" w:color="auto" w:fill="auto"/>
            <w:vAlign w:val="center"/>
          </w:tcPr>
          <w:p>
            <w:pPr>
              <w:pStyle w:val="19"/>
              <w:numPr>
                <w:ilvl w:val="0"/>
                <w:numId w:val="0"/>
              </w:numPr>
              <w:tabs>
                <w:tab w:val="left" w:pos="426"/>
              </w:tabs>
              <w:ind w:leftChars="0"/>
              <w:jc w:val="both"/>
              <w:rPr>
                <w:rFonts w:ascii="Arial" w:hAnsi="Arial" w:cs="Arial"/>
                <w:lang w:val="pt-BR"/>
              </w:rPr>
            </w:pPr>
            <w:r>
              <w:rPr>
                <w:rFonts w:ascii="Arial" w:hAnsi="Arial" w:cs="Arial"/>
                <w:lang w:val="pt-BR"/>
              </w:rPr>
              <w:t>30001.1030200852.203</w:t>
            </w:r>
          </w:p>
        </w:tc>
        <w:tc>
          <w:tcPr>
            <w:tcW w:w="1260" w:type="dxa"/>
            <w:shd w:val="clear" w:color="auto" w:fill="auto"/>
            <w:vAlign w:val="center"/>
          </w:tcPr>
          <w:p>
            <w:pPr>
              <w:pStyle w:val="19"/>
              <w:numPr>
                <w:ilvl w:val="0"/>
                <w:numId w:val="0"/>
              </w:numPr>
              <w:tabs>
                <w:tab w:val="left" w:pos="426"/>
              </w:tabs>
              <w:ind w:leftChars="0"/>
              <w:jc w:val="both"/>
              <w:rPr>
                <w:rFonts w:ascii="Arial" w:hAnsi="Arial" w:cs="Arial"/>
                <w:lang w:val="pt-BR"/>
              </w:rPr>
            </w:pPr>
            <w:r>
              <w:rPr>
                <w:rFonts w:ascii="Arial" w:hAnsi="Arial" w:cs="Arial"/>
                <w:lang w:val="pt-BR"/>
              </w:rPr>
              <w:t>2621</w:t>
            </w:r>
          </w:p>
        </w:tc>
        <w:tc>
          <w:tcPr>
            <w:tcW w:w="2610" w:type="dxa"/>
            <w:shd w:val="clear" w:color="auto" w:fill="auto"/>
          </w:tcPr>
          <w:p>
            <w:pPr>
              <w:pStyle w:val="19"/>
              <w:numPr>
                <w:ilvl w:val="0"/>
                <w:numId w:val="0"/>
              </w:numPr>
              <w:tabs>
                <w:tab w:val="left" w:pos="426"/>
              </w:tabs>
              <w:ind w:leftChars="0"/>
              <w:jc w:val="center"/>
              <w:rPr>
                <w:rFonts w:ascii="Arial" w:hAnsi="Arial" w:cs="Arial"/>
                <w:lang w:val="pt-BR"/>
              </w:rPr>
            </w:pPr>
            <w:r>
              <w:rPr>
                <w:rFonts w:ascii="Arial" w:hAnsi="Arial" w:cs="Arial"/>
                <w:lang w:val="pt-BR"/>
              </w:rPr>
              <w:t>449052.14</w:t>
            </w:r>
          </w:p>
        </w:tc>
      </w:tr>
    </w:tbl>
    <w:p>
      <w:pPr>
        <w:pStyle w:val="19"/>
        <w:numPr>
          <w:ilvl w:val="0"/>
          <w:numId w:val="0"/>
        </w:numPr>
        <w:tabs>
          <w:tab w:val="left" w:pos="426"/>
        </w:tabs>
        <w:ind w:leftChars="0"/>
        <w:jc w:val="both"/>
        <w:rPr>
          <w:rFonts w:hint="default" w:ascii="Arial" w:hAnsi="Arial" w:cs="Arial"/>
          <w:lang w:val="pt-BR"/>
        </w:rPr>
      </w:pPr>
    </w:p>
    <w:p>
      <w:pPr>
        <w:pStyle w:val="19"/>
        <w:numPr>
          <w:ilvl w:val="0"/>
          <w:numId w:val="0"/>
        </w:numPr>
        <w:tabs>
          <w:tab w:val="left" w:pos="426"/>
        </w:tabs>
        <w:ind w:leftChars="0"/>
        <w:jc w:val="both"/>
        <w:rPr>
          <w:rFonts w:ascii="Arial" w:hAnsi="Arial" w:cs="Arial"/>
          <w:i/>
          <w:iCs/>
          <w:lang w:val="pt-BR"/>
        </w:rPr>
      </w:pPr>
      <w:r>
        <w:rPr>
          <w:rFonts w:hint="default" w:ascii="Arial" w:hAnsi="Arial" w:cs="Arial"/>
          <w:lang w:val="pt-BR"/>
        </w:rPr>
        <w:t xml:space="preserve">13.2 </w:t>
      </w:r>
      <w:r>
        <w:rPr>
          <w:rFonts w:ascii="Arial" w:hAnsi="Arial" w:cs="Arial"/>
          <w:lang w:val="pt-BR"/>
        </w:rPr>
        <w:t>A dotação relativa aos exercícios financeiros subsequentes será indicada após aprovação da Lei Orçamentária respectiva e liberação dos créditos correspondentes, mediante apostilamento</w:t>
      </w:r>
      <w:r>
        <w:rPr>
          <w:rFonts w:ascii="Arial" w:hAnsi="Arial" w:cs="Arial"/>
          <w:i/>
          <w:iCs/>
          <w:lang w:val="pt-BR"/>
        </w:rPr>
        <w:t>.</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440" w:leftChars="-200" w:firstLine="14"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66575B"/>
    <w:rsid w:val="05DF682E"/>
    <w:rsid w:val="09E9764E"/>
    <w:rsid w:val="0ACC16A1"/>
    <w:rsid w:val="11CC2ACE"/>
    <w:rsid w:val="1AF72D93"/>
    <w:rsid w:val="1BAF4735"/>
    <w:rsid w:val="1F94485C"/>
    <w:rsid w:val="1FD12E07"/>
    <w:rsid w:val="22457CDA"/>
    <w:rsid w:val="27DF0BA6"/>
    <w:rsid w:val="28795111"/>
    <w:rsid w:val="2A7A082E"/>
    <w:rsid w:val="2FA20835"/>
    <w:rsid w:val="35A336FE"/>
    <w:rsid w:val="36EC2A2B"/>
    <w:rsid w:val="39F252A2"/>
    <w:rsid w:val="3C4D19A5"/>
    <w:rsid w:val="3C9967A2"/>
    <w:rsid w:val="3D361311"/>
    <w:rsid w:val="440A0315"/>
    <w:rsid w:val="44D20D8A"/>
    <w:rsid w:val="486B0279"/>
    <w:rsid w:val="4B443785"/>
    <w:rsid w:val="501F24D5"/>
    <w:rsid w:val="51A10D5A"/>
    <w:rsid w:val="53650979"/>
    <w:rsid w:val="54DC4464"/>
    <w:rsid w:val="59C23B8A"/>
    <w:rsid w:val="5C237373"/>
    <w:rsid w:val="623C6820"/>
    <w:rsid w:val="632366B5"/>
    <w:rsid w:val="655965EF"/>
    <w:rsid w:val="68532C20"/>
    <w:rsid w:val="68A94D6E"/>
    <w:rsid w:val="6C1421CC"/>
    <w:rsid w:val="6DC32239"/>
    <w:rsid w:val="70970FC3"/>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9"/>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locked/>
    <w:uiPriority w:val="0"/>
    <w:rPr>
      <w:rFonts w:ascii="Arial" w:hAnsi="Arial" w:cs="Arial" w:eastAsiaTheme="minorEastAsia"/>
    </w:rPr>
  </w:style>
  <w:style w:type="character" w:customStyle="1" w:styleId="61">
    <w:name w:val="Link da Internet"/>
    <w:qFormat/>
    <w:uiPriority w:val="0"/>
    <w:rPr>
      <w:color w:val="0000FF"/>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5227</Words>
  <Characters>29414</Characters>
  <Lines>241</Lines>
  <Paragraphs>68</Paragraphs>
  <TotalTime>0</TotalTime>
  <ScaleCrop>false</ScaleCrop>
  <LinksUpToDate>false</LinksUpToDate>
  <CharactersWithSpaces>34478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2026-05-14T18:57:39Z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